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</w:rPr>
        <w:t>西南医科大学2022年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38"/>
          <w:szCs w:val="38"/>
          <w:lang w:val="en-US" w:eastAsia="zh-CN"/>
        </w:rPr>
        <w:t>最新招聘公告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西南医科大学是四川省省属普通高等院校，坐落在川滇黔渝结合部的泸州。泸州，是“国家历史文化名城”“全国双拥模范城”“国家卫生城市”“中国优秀旅游城市”“国家森林城市”“国家园林城市”“全国文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明城市”。泸州，是一座大美之城，主城区被长江、沱江两江环抱，“江在城中，江城互融”。泸州，是一座闻名于世的酒城，风过泸州带酒香，是浓香型白酒发源地，拥有泸州老窖和郎酒两朵“中国名酒之花”。泸州，是一座红色之城，有着光荣的红色历程，朱德“护国讨袁”在泸州战斗生活5年，刘伯承指挥的泸顺起义是中国共产党武装起义的先声，红军“四渡赤水”三渡在泸，书写了毛泽东军事生涯的得意之笔。泸州，是一座通达之城，建成高速公路5条，通车里程居四川第3位;绵泸高铁于2021年7月通车，泸州可直达成都、西安、郑州、上海、广州等地;已全面动工的渝昆高铁与规划中的蓉遵高铁在泸州交差而过;泸州云龙机场是四川第三大航空港，全国民航中型机场，当前通航点已达50个，涵盖国内全部一线城市、重要的省会城市和旅游城市。泸州，是一座宜居之城，全市森林覆盖率50.8%，城市建成区绿地率40%，中心城区建成开放公园43个，形成了“300米见绿、500米见园”的城市生态格局。教育医疗资源优质，有西南医科大学等7所普通高等院校，有“三甲”医疗机构6家，医疗卫生资源和条件居四川省第2位，正在建设区域医药健康中心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西南医科大学现有忠山、城北两个校区，占地2011亩。学校下设20个院(系)，有在校本科生、研究生、留学生等约两万人。图书馆馆藏资源丰富，有纸质文献164.3 万册，电子文献246余万册，订有中外文纸质期刊1028种，能充分满足师生阅读、学习需求。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学科门类较为齐全，学科特色突出。临床医学、药学是四川省一流建设学科。临床医学、药理学与毒理学进入ESI全球排名前1%，其中临床医学在ESI全球排名前1%机构中位列45.21%。现有博士学位授权学科1个，硕士学位授权一级学科7个、硕士学位授权二级学科2个、硕士专业学位授权点9个，涵盖医学、理学、管理学、法学、教育学5个学科门类。有普通本科专业32个，涵盖7个学科门类;有国家级、省级一流本科专业建设点12个、国家级特色专业3个、省级特色专业3个、省级应用型示范专业5个，大力推进“医工、医理、医文”结合，构建了覆盖“生命全周期，健康全过程”的医学专业教育体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拥有教育部重点实验室、四川省重点实验室等省部级以上科研平台33个和35个省、厅级科研团队，是“四川2011心血管疾病防治协同创新中心”牵头单位。2017-2021年，学校获批各级各类科研项目4427项，其中省部级及以上科研项目493项; 获省部级以上科技成果奖45项，其中国家科技进步奖二等奖1项。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先后与25个国家和地区建立了对外合作交流关系，并多次成功举办国际学术会议，建成了中国-葡语系国家和地区中医药国际合作基地。先后为巴基斯坦、印度、孟加拉国等“一带一路”沿线国家培养博士后、研究生和本科生500余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学校现有5所直属附属医院，在突发公共事件、应急抢险中，展现出极强的应急救援能力和高救治成功率。作为西南四省(市)结合区域的省级医疗中心，为川渝滇黔结合区域人民健康保驾护航，为国家和区域医药卫生人才培养和医疗服务作出了重要的贡献。(具体信息可查阅我校官网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现面向海内外诚聘各类博士英才(年龄一般不超过35周岁)，具体如下：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240" w:beforeAutospacing="0" w:after="240" w:afterAutospacing="0" w:line="420" w:lineRule="atLeast"/>
        <w:ind w:left="0" w:right="0" w:firstLine="315"/>
        <w:rPr>
          <w:color w:val="FFFFFF"/>
          <w:sz w:val="24"/>
          <w:szCs w:val="24"/>
        </w:rPr>
      </w:pPr>
      <w:r>
        <w:rPr>
          <w:i w:val="0"/>
          <w:iCs w:val="0"/>
          <w:caps w:val="0"/>
          <w:color w:val="FFFFFF"/>
          <w:spacing w:val="0"/>
          <w:sz w:val="24"/>
          <w:szCs w:val="24"/>
          <w:shd w:val="clear" w:fill="9F1B29"/>
        </w:rPr>
        <w:t>一、需求专业</w:t>
      </w:r>
    </w:p>
    <w:tbl>
      <w:tblPr>
        <w:tblStyle w:val="9"/>
        <w:tblW w:w="14150" w:type="dxa"/>
        <w:tblInd w:w="15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39"/>
        <w:gridCol w:w="2371"/>
        <w:gridCol w:w="5383"/>
        <w:gridCol w:w="1457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二级单位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招聘岗位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noWrap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所需专业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Style w:val="11"/>
                <w:color w:val="000000"/>
                <w:sz w:val="24"/>
                <w:szCs w:val="24"/>
              </w:rPr>
              <w:t>引进人数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临床医学院·附属医院（含康复医学系、儿科学系、医学影像系、麻醉学系、医学检验系）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教师/医师/专职科研人员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临床医学（肝胆外科骨科、神经外科、胸心外科、消化内科、血液内科、风湿免疫、心血管内科、影像医学与核医学等）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中西医结合学院·附属中医医院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教师/医师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中医学、中西医结合、临床医学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口腔医学院·附属口腔医院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教师/医师/专职科研人员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口腔医学、口腔临床医学、干细胞与再生医学、分子生物学、生物材料学、肿瘤学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基础医学院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临床医学、基础医学（人体解剖学、组织胚胎学、病理生理学免疫学等）、生理学、生物化学与分子生物学、生物技术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药学院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药学（药理学、药物化学、药剂学、药物分析等）、中药学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公共卫生学院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公共卫生与预防医学（流行病与卫生统计学、环境卫生、职业卫生、毒理学、营养与食品卫生学等）、公共卫生、公共管理（社会医学和卫生事业管理、健康行为学）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心血管医学研究所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科研人员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基础医学、生物学、药学、统计学、生物医学工程、计算机</w:t>
            </w:r>
          </w:p>
        </w:tc>
        <w:tc>
          <w:tcPr>
            <w:tcW w:w="70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药物与功能性食品研究中心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科研人员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纳米医学、细胞分子生物学、心血管药理学</w:t>
            </w: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noWrap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医学基础研究中心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科研人员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生物信息学，生物化学与分子生物学，遗传学，药理学</w:t>
            </w: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c>
          <w:tcPr>
            <w:tcW w:w="240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护理学院、医学信息与工程学院、马克思主义学院、法学院、外国语学院、体育学院等其它院系</w:t>
            </w:r>
          </w:p>
        </w:tc>
        <w:tc>
          <w:tcPr>
            <w:tcW w:w="11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教师</w:t>
            </w:r>
          </w:p>
        </w:tc>
        <w:tc>
          <w:tcPr>
            <w:tcW w:w="261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与该院系匹配的有关专业</w:t>
            </w:r>
          </w:p>
        </w:tc>
        <w:tc>
          <w:tcPr>
            <w:tcW w:w="70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240" w:beforeAutospacing="0" w:after="240" w:afterAutospacing="0" w:line="420" w:lineRule="atLeast"/>
        <w:ind w:left="0" w:right="0" w:firstLine="315"/>
        <w:rPr>
          <w:color w:val="FFFFFF"/>
          <w:sz w:val="24"/>
          <w:szCs w:val="24"/>
        </w:rPr>
      </w:pPr>
      <w:r>
        <w:rPr>
          <w:i w:val="0"/>
          <w:iCs w:val="0"/>
          <w:caps w:val="0"/>
          <w:color w:val="FFFFFF"/>
          <w:spacing w:val="0"/>
          <w:sz w:val="24"/>
          <w:szCs w:val="24"/>
          <w:shd w:val="clear" w:fill="9F1B29"/>
        </w:rPr>
        <w:t>二、引进待遇(人民币，下同)</w:t>
      </w:r>
    </w:p>
    <w:tbl>
      <w:tblPr>
        <w:tblStyle w:val="9"/>
        <w:tblW w:w="14150" w:type="dxa"/>
        <w:tblInd w:w="15" w:type="dxa"/>
        <w:tblBorders>
          <w:top w:val="single" w:color="CCCCCC" w:sz="4" w:space="0"/>
          <w:left w:val="single" w:color="CCCCCC" w:sz="4" w:space="0"/>
          <w:bottom w:val="outset" w:color="auto" w:sz="0" w:space="0"/>
          <w:right w:val="outset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7"/>
        <w:gridCol w:w="4754"/>
        <w:gridCol w:w="1762"/>
        <w:gridCol w:w="3964"/>
        <w:gridCol w:w="2303"/>
      </w:tblGrid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引进类别</w:t>
            </w:r>
          </w:p>
        </w:tc>
        <w:tc>
          <w:tcPr>
            <w:tcW w:w="63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安家费</w:t>
            </w:r>
          </w:p>
        </w:tc>
        <w:tc>
          <w:tcPr>
            <w:tcW w:w="2208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租房补贴</w:t>
            </w:r>
          </w:p>
        </w:tc>
        <w:tc>
          <w:tcPr>
            <w:tcW w:w="52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薪酬及待遇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F4F9FF"/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科研启动经费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63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税前25-30万元(自然学科）；税前20-25万元（人文学科）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另有泸州市政府提供的安家费补助及岗位激励约10万元。学校发放部分按12个月平均发放）</w:t>
            </w:r>
          </w:p>
        </w:tc>
        <w:tc>
          <w:tcPr>
            <w:tcW w:w="2208" w:type="dxa"/>
            <w:vMerge w:val="restart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提供房租补贴1500元/月，最长24个月。</w:t>
            </w:r>
          </w:p>
        </w:tc>
        <w:tc>
          <w:tcPr>
            <w:tcW w:w="52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基本工资标准按国家政策兑现中级职称待遇（专十级），校内绩效享受校聘副教授待遇3年，3年后按实际职称兑现待遇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人文学科类：10-15万元；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自然学科类：15-20万元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outset" w:color="auto" w:sz="0" w:space="0"/>
            <w:right w:val="outset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752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B类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博士</w:t>
            </w:r>
          </w:p>
        </w:tc>
        <w:tc>
          <w:tcPr>
            <w:tcW w:w="6336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税前15-20万元（自然学科）；税前10-15（人文学科）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另有泸州市政府提供的安家费补助及岗位激励约10万元。学校发放部分按12个月平均发放）</w:t>
            </w:r>
          </w:p>
        </w:tc>
        <w:tc>
          <w:tcPr>
            <w:tcW w:w="2208" w:type="dxa"/>
            <w:vMerge w:val="continue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jc w:val="lef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2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36" w:lineRule="atLeast"/>
              <w:ind w:left="0" w:firstLine="0"/>
              <w:jc w:val="left"/>
              <w:rPr>
                <w:sz w:val="24"/>
                <w:szCs w:val="24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工资标准及校内绩效执行中级职称待遇（专十级）</w:t>
            </w:r>
          </w:p>
        </w:tc>
        <w:tc>
          <w:tcPr>
            <w:tcW w:w="2940" w:type="dxa"/>
            <w:tcBorders>
              <w:top w:val="outset" w:color="auto" w:sz="6" w:space="0"/>
              <w:left w:val="outset" w:color="auto" w:sz="6" w:space="0"/>
              <w:bottom w:val="single" w:color="CCCCCC" w:sz="4" w:space="0"/>
              <w:right w:val="single" w:color="CCCCCC" w:sz="4" w:space="0"/>
            </w:tcBorders>
            <w:shd w:val="clear" w:color="auto" w:fill="auto"/>
            <w:tcMar>
              <w:top w:w="0" w:type="dxa"/>
              <w:left w:w="96" w:type="dxa"/>
              <w:bottom w:w="0" w:type="dxa"/>
              <w:right w:w="96" w:type="dxa"/>
            </w:tcMar>
            <w:vAlign w:val="center"/>
          </w:tcPr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人文学科类：5-10万元；</w:t>
            </w:r>
          </w:p>
          <w:p>
            <w:pPr>
              <w:pStyle w:val="8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自然学科类：10-15万元</w:t>
            </w:r>
          </w:p>
        </w:tc>
      </w:tr>
    </w:tbl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特别优秀的人才不受上述限制，采用一事一议，具体面议。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注：A类博士业绩要求(近三年)：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1.自然学科类，满足以下条件之一：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(1)以第一作者或通讯作者发表SCI文章1篇且IF≥8分;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(2)以第一作者或通讯作者发表JCR一区文章至少1篇;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(3)以第一作者或通讯作者发表SCI文章，总IF≥15分;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(4)作为有效排名人身份参与国家重大项目至少1项(须提交盖鲜章的申报书原件或本人签字复印件);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(5)获得国家发明专利2项。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2.人文社科类，满足以下条件之一：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(1)以第一作者或通讯作者发表CSSCI(不含扩展版)、SSCI、A﹠HCI 来源论文≥2 篇;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(2)主持国家社科基金至少1项;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(3)作为有效排名人身份参与国家重大项目至少1项(须提交盖鲜章的申报书原件或本人签字复印件);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(4)出版与本专业(学科)相关的专著至少1本。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240" w:beforeAutospacing="0" w:after="240" w:afterAutospacing="0" w:line="420" w:lineRule="atLeast"/>
        <w:ind w:left="0" w:right="0" w:firstLine="315"/>
        <w:rPr>
          <w:color w:val="FFFFFF"/>
          <w:sz w:val="24"/>
          <w:szCs w:val="24"/>
        </w:rPr>
      </w:pPr>
      <w:r>
        <w:rPr>
          <w:i w:val="0"/>
          <w:iCs w:val="0"/>
          <w:caps w:val="0"/>
          <w:color w:val="FFFFFF"/>
          <w:spacing w:val="0"/>
          <w:sz w:val="24"/>
          <w:szCs w:val="24"/>
          <w:shd w:val="clear" w:fill="9F1B29"/>
        </w:rPr>
        <w:t>三、通迅地址及联系方式：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地址：四川省泸州市龙马潭区香林路1段1号德诚楼7楼西南医科大学人事处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电话：0830-3160509　联系人：文老师/王老师/杨老师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电子邮箱:hr@swmu.edu.cn　　邮　编：646000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405255" cy="1677035"/>
            <wp:effectExtent l="0" t="0" r="12065" b="14605"/>
            <wp:docPr id="2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1677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428115" cy="1704975"/>
            <wp:effectExtent l="0" t="0" r="4445" b="1905"/>
            <wp:docPr id="8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IMG_26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2811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9F1B29"/>
        <w:spacing w:before="240" w:beforeAutospacing="0" w:after="240" w:afterAutospacing="0" w:line="420" w:lineRule="atLeast"/>
        <w:ind w:left="0" w:right="0" w:firstLine="315"/>
        <w:rPr>
          <w:color w:val="FFFFFF"/>
          <w:sz w:val="24"/>
          <w:szCs w:val="24"/>
        </w:rPr>
      </w:pPr>
      <w:r>
        <w:rPr>
          <w:i w:val="0"/>
          <w:iCs w:val="0"/>
          <w:caps w:val="0"/>
          <w:color w:val="FFFFFF"/>
          <w:spacing w:val="0"/>
          <w:sz w:val="24"/>
          <w:szCs w:val="24"/>
          <w:shd w:val="clear" w:fill="9F1B29"/>
        </w:rPr>
        <w:t>四、来校考察路线：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1、航班直飞泸州。到达云龙机场后，乘坐95路公交车到泸州客运中心站下车，步行20分钟或搭乘出租车起步价即到西南医科大学城北校区。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2.高铁直达泸州。出站后搭乘出租车起步价即到西南医科大学城北校区。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3.其它到达方式。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(1)可以飞抵附近的宜宾机场。宜宾机场距离泸州约90分钟。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(2)可以飞抵重庆机场，然后在T2、T3航站楼乘至泸州的机场大巴专线，全天候滚动发车，购票及上车地点位于航站楼内，较方便;也可拼车到泸州，泸渝快的订票电话18980257979，票价约150元/人，需在航班起飞前预定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(3)可以飞抵成都，然后可选择坐客车直达泸州，也可在成都东站坐高铁到泸州站。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4、乘高铁到成都，转车到泸州：成都东站—泸州站(约90分钟)。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来我校考察面试的博士，我校可报销一定的交通费及住宿费(须报销凭证)。具体请与我校工作人员联系。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>抄送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gxszw@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vip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163.com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4"/>
          <w:szCs w:val="24"/>
          <w:u w:val="none"/>
          <w:shd w:val="clear" w:fill="FFFFFF"/>
        </w:rPr>
        <w:t xml:space="preserve"> 电子邮件命名格式：高校师资网+毕业学校+学历+应聘岗位+姓名）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QQ博士交流群2：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474552006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，</w:t>
      </w:r>
      <w:r>
        <w:rPr>
          <w:rFonts w:hint="eastAsia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  <w:t>硕士</w:t>
      </w:r>
      <w:r>
        <w:rPr>
          <w:rFonts w:hint="default" w:ascii="Verdana" w:hAnsi="Verdana" w:eastAsia="宋体" w:cs="Verdana"/>
          <w:i w:val="0"/>
          <w:iCs w:val="0"/>
          <w:caps w:val="0"/>
          <w:color w:val="333333"/>
          <w:spacing w:val="0"/>
          <w:sz w:val="24"/>
          <w:szCs w:val="24"/>
        </w:rPr>
        <w:t>交流群：</w:t>
      </w:r>
      <w:r>
        <w:rPr>
          <w:rStyle w:val="11"/>
          <w:rFonts w:hint="default" w:ascii="Verdana" w:hAnsi="Verdana" w:eastAsia="宋体" w:cs="Verdana"/>
          <w:i w:val="0"/>
          <w:iCs w:val="0"/>
          <w:caps w:val="0"/>
          <w:color w:val="FF0000"/>
          <w:spacing w:val="0"/>
          <w:sz w:val="24"/>
          <w:szCs w:val="24"/>
        </w:rPr>
        <w:t>904560179</w:t>
      </w:r>
      <w:r>
        <w:rPr>
          <w:rFonts w:ascii="宋体" w:hAnsi="宋体" w:eastAsia="宋体" w:cs="宋体"/>
          <w:color w:val="FF0000"/>
          <w:sz w:val="24"/>
          <w:szCs w:val="24"/>
        </w:rPr>
        <w:t>更多校园招聘信息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请同学添</w:t>
      </w:r>
      <w:r>
        <w:rPr>
          <w:rFonts w:ascii="宋体" w:hAnsi="宋体" w:eastAsia="宋体" w:cs="宋体"/>
          <w:color w:val="FF0000"/>
          <w:sz w:val="24"/>
          <w:szCs w:val="24"/>
        </w:rPr>
        <w:t>加客服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惠惠儿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老师微信号码：y15210763946</w:t>
      </w: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 xml:space="preserve"> 咨询。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jc w:val="center"/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6"/>
          <w:szCs w:val="16"/>
          <w:bdr w:val="single" w:color="808080" w:sz="4" w:space="0"/>
        </w:rPr>
        <w:drawing>
          <wp:inline distT="0" distB="0" distL="114300" distR="114300">
            <wp:extent cx="5687695" cy="2562225"/>
            <wp:effectExtent l="0" t="0" r="12065" b="13335"/>
            <wp:docPr id="6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8769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drawing>
        <wp:inline distT="0" distB="0" distL="114300" distR="114300">
          <wp:extent cx="1332230" cy="385445"/>
          <wp:effectExtent l="0" t="0" r="1270" b="14605"/>
          <wp:docPr id="3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2230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30120"/>
    <w:rsid w:val="041F2B7A"/>
    <w:rsid w:val="06C071D7"/>
    <w:rsid w:val="0CC06E77"/>
    <w:rsid w:val="0D2C433B"/>
    <w:rsid w:val="113F196D"/>
    <w:rsid w:val="11834876"/>
    <w:rsid w:val="11D33129"/>
    <w:rsid w:val="12E3067C"/>
    <w:rsid w:val="14674D1C"/>
    <w:rsid w:val="14B4453A"/>
    <w:rsid w:val="14B873E0"/>
    <w:rsid w:val="169623F8"/>
    <w:rsid w:val="17E102E4"/>
    <w:rsid w:val="197856F4"/>
    <w:rsid w:val="1A373139"/>
    <w:rsid w:val="1C4C44E3"/>
    <w:rsid w:val="1D7A0CFC"/>
    <w:rsid w:val="219E0601"/>
    <w:rsid w:val="227D7F3B"/>
    <w:rsid w:val="24563CEE"/>
    <w:rsid w:val="27565119"/>
    <w:rsid w:val="28A3523A"/>
    <w:rsid w:val="28B450FC"/>
    <w:rsid w:val="28F940AD"/>
    <w:rsid w:val="2E531BE2"/>
    <w:rsid w:val="2E8B7ABF"/>
    <w:rsid w:val="32A77C15"/>
    <w:rsid w:val="33C45B16"/>
    <w:rsid w:val="3A427D7E"/>
    <w:rsid w:val="3AB918A1"/>
    <w:rsid w:val="3BB37D4C"/>
    <w:rsid w:val="3CEA7B05"/>
    <w:rsid w:val="3E92015B"/>
    <w:rsid w:val="3F7C6224"/>
    <w:rsid w:val="41722A03"/>
    <w:rsid w:val="442B4D82"/>
    <w:rsid w:val="4566555F"/>
    <w:rsid w:val="4E223A85"/>
    <w:rsid w:val="4E662F44"/>
    <w:rsid w:val="502C3C0E"/>
    <w:rsid w:val="52C1090F"/>
    <w:rsid w:val="56061EFD"/>
    <w:rsid w:val="562A4055"/>
    <w:rsid w:val="57027242"/>
    <w:rsid w:val="581408C6"/>
    <w:rsid w:val="58762146"/>
    <w:rsid w:val="58EB487B"/>
    <w:rsid w:val="596D4A2C"/>
    <w:rsid w:val="5A900BEA"/>
    <w:rsid w:val="5BCF6CF7"/>
    <w:rsid w:val="659F265C"/>
    <w:rsid w:val="6628055F"/>
    <w:rsid w:val="6C29146A"/>
    <w:rsid w:val="6E796040"/>
    <w:rsid w:val="719453A1"/>
    <w:rsid w:val="720F4553"/>
    <w:rsid w:val="72270149"/>
    <w:rsid w:val="73AF2CDC"/>
    <w:rsid w:val="7532297B"/>
    <w:rsid w:val="75A67861"/>
    <w:rsid w:val="78F03F2B"/>
    <w:rsid w:val="7A772BA1"/>
    <w:rsid w:val="7B2D6662"/>
    <w:rsid w:val="7EAF4E12"/>
    <w:rsid w:val="7F210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4B4B4B"/>
      <w:u w:val="none"/>
    </w:rPr>
  </w:style>
  <w:style w:type="character" w:styleId="13">
    <w:name w:val="Emphasis"/>
    <w:basedOn w:val="10"/>
    <w:qFormat/>
    <w:uiPriority w:val="0"/>
    <w:rPr>
      <w:i/>
    </w:rPr>
  </w:style>
  <w:style w:type="character" w:styleId="14">
    <w:name w:val="Hyperlink"/>
    <w:basedOn w:val="10"/>
    <w:qFormat/>
    <w:uiPriority w:val="0"/>
    <w:rPr>
      <w:color w:val="0000FF"/>
      <w:u w:val="single"/>
    </w:rPr>
  </w:style>
  <w:style w:type="character" w:customStyle="1" w:styleId="15">
    <w:name w:val="bsharetext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office2</cp:lastModifiedBy>
  <dcterms:modified xsi:type="dcterms:W3CDTF">2022-01-04T03:36:32Z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468A9DA0C1994F43A76EB771EE12B21B</vt:lpwstr>
  </property>
</Properties>
</file>